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E" w:rsidRDefault="00F8206E" w:rsidP="00F8206E">
      <w:pPr>
        <w:widowControl w:val="0"/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Профілактика шкідливих звичок та девіантної поведінки 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Запобігання вживання дітьми та учнівською молоддю наркотичних та психотропних речовин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повинно займати належне місце в організації виховного процесу закладу освіти.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Особливу тривогу викликає те, що порушується стаття 54 Закону України “Про освіту” у частині недостатньої діяльності педагогічних та науково-педагогічних працівників закладів освіти щодо запобігання </w:t>
      </w:r>
      <w:r>
        <w:rPr>
          <w:rStyle w:val="rvts0"/>
          <w:rFonts w:ascii="Times New Roman" w:hAnsi="Times New Roman"/>
          <w:sz w:val="28"/>
          <w:szCs w:val="28"/>
        </w:rPr>
        <w:t xml:space="preserve">вживанню </w:t>
      </w:r>
      <w:r>
        <w:rPr>
          <w:rFonts w:ascii="Times New Roman" w:hAnsi="Times New Roman"/>
          <w:sz w:val="28"/>
          <w:szCs w:val="28"/>
        </w:rPr>
        <w:t xml:space="preserve">здобувачами освіти </w:t>
      </w:r>
      <w:r>
        <w:rPr>
          <w:rStyle w:val="rvts0"/>
          <w:rFonts w:ascii="Times New Roman" w:hAnsi="Times New Roman"/>
          <w:sz w:val="28"/>
          <w:szCs w:val="28"/>
        </w:rPr>
        <w:t>алкогольних напоїв, наркотичних засобів та тютюнових виробів.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Просимо в межах компетенції: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впроваджувати апробовані передовою міжнародною та вітчизняною практикою профілактичних стратегій формування життєвих навичок, розроблення нових і удосконалення чинних програм та методик розв’язання наркотичних і алкогольних проблем згідно з вимогами МОН до наукових, науково-методичних та освітніх видань;</w:t>
      </w:r>
      <w:bookmarkStart w:id="0" w:name="n100"/>
      <w:bookmarkEnd w:id="0"/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забезпечувати  підтримк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розвитку системи позашкільної освіти;</w:t>
      </w:r>
      <w:bookmarkStart w:id="1" w:name="n101"/>
      <w:bookmarkEnd w:id="1"/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формувати в дітей, учнівської та студентської молоді життєвих навичок, уміння протистояти ризикам і загрозам, пов’язаним з наркотиками;</w:t>
      </w:r>
      <w:bookmarkStart w:id="2" w:name="n103"/>
      <w:bookmarkEnd w:id="2"/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комплекс профілактичних заходів, спрямованих на підвищення психолого-педагогічної компетентності батьків, формування у них свідомого відповідального ставлення до виконання обов’язків, пов’язаних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утриманням, вихованням та освітою дітей;</w:t>
      </w:r>
      <w:bookmarkStart w:id="3" w:name="n104"/>
      <w:bookmarkStart w:id="4" w:name="n106"/>
      <w:bookmarkEnd w:id="3"/>
      <w:bookmarkEnd w:id="4"/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впроваджувати в програми підготовки та перепідготовки педагогічних працівників сучасні методики профілактичної роботи з подолання негативних проявів серед дітей, учнівської та студентської молоді;</w:t>
      </w:r>
      <w:bookmarkStart w:id="5" w:name="n107"/>
      <w:bookmarkEnd w:id="5"/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методики раннього виявлення дітей, які належать до груп ризику через їх незахищеність та інші чинники, що можуть призвести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початку вживання наркотиків (діти, батьки яких перебувають у трудовій еміграції за кордоном; діти із сімей з проблемами залежності; діти, що отримали психологічні травми внаслідок жорстокого поводження або сексуального насильства, безпритульні), сприяння захисту їх прав та недопущення соціального відторгнення тощо. 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Style w:val="rvts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цьому інформуємо, що постановою Кабінету Міністрів України від 10 липня 2019 року № 689 затверджено Порядок </w:t>
      </w:r>
      <w:r>
        <w:rPr>
          <w:rStyle w:val="rvts0"/>
          <w:rFonts w:ascii="Times New Roman" w:hAnsi="Times New Roman"/>
          <w:sz w:val="28"/>
          <w:szCs w:val="28"/>
        </w:rPr>
        <w:t>проведення моніторингу наркотичної та алкогольної ситуації в Україні.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доступу: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5" w:anchor="Text">
        <w:r>
          <w:rPr>
            <w:rStyle w:val="a3"/>
            <w:rFonts w:ascii="Times New Roman" w:hAnsi="Times New Roman"/>
            <w:sz w:val="28"/>
            <w:szCs w:val="28"/>
          </w:rPr>
          <w:t>https://zakon.rada.gov.ua/laws/show/689-2019-%D0%BF#Text</w:t>
        </w:r>
      </w:hyperlink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Звертаємося до департаментів (управлінь) освіти і науки обласних та Київської міської державної адміністрації організувати виконання та надати в межах компетенції Міністерству освіти і науки моніторингові показники, які містять інформацію про проведені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навчальному році </w:t>
      </w:r>
      <w:r>
        <w:rPr>
          <w:rFonts w:ascii="Times New Roman" w:hAnsi="Times New Roman"/>
          <w:sz w:val="28"/>
          <w:szCs w:val="28"/>
          <w:lang w:eastAsia="uk-UA"/>
        </w:rPr>
        <w:t xml:space="preserve">профілактичні заходи, спрямовані на зниження рівня вживання психотропних </w:t>
      </w:r>
      <w:r>
        <w:rPr>
          <w:rFonts w:ascii="Times New Roman" w:hAnsi="Times New Roman"/>
          <w:sz w:val="28"/>
          <w:szCs w:val="28"/>
          <w:lang w:val="uk-UA"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ечовин,</w:t>
      </w:r>
      <w:r>
        <w:rPr>
          <w:rFonts w:ascii="Times New Roman" w:hAnsi="Times New Roman"/>
          <w:sz w:val="28"/>
          <w:szCs w:val="28"/>
        </w:rPr>
        <w:t xml:space="preserve"> за формою згідно з додатком 7 зазначеної Постанови.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Інформацію надсилати на електронну адресу </w:t>
      </w:r>
      <w:hyperlink r:id="rId6">
        <w:r>
          <w:rPr>
            <w:rStyle w:val="a3"/>
            <w:rFonts w:ascii="Times New Roman" w:hAnsi="Times New Roman"/>
            <w:sz w:val="28"/>
            <w:szCs w:val="28"/>
          </w:rPr>
          <w:t>psyche-logos@ukr.net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br/>
        <w:t>01 квітня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Міністерство освіти і науки зосереджує увагу на виконанні органами та закладами освіти в межах компетенції Плану заходів з реалізації Національної стратегії реформування системи юстиції щодо дітей на період до 2023 року, затвердженого розпорядженням Кабінету Міністрів України від 27 листопада 2019 р. № 1335-р.Ресурс доступу за посиланням: 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hyperlink r:id="rId7">
        <w:r>
          <w:rPr>
            <w:rStyle w:val="a3"/>
            <w:rFonts w:ascii="Times New Roman" w:hAnsi="Times New Roman"/>
            <w:sz w:val="28"/>
            <w:szCs w:val="28"/>
          </w:rPr>
          <w:t>https://www.kmu.gov.ua/npas/pro-zatverdzhennya-planu-zahodiv-z-a1335r</w:t>
        </w:r>
      </w:hyperlink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Ситуація щодо кримінальних правопорушень у дитячому середовищі спонукає до проведення чіткої взаємодії всіх зацікавлених органів та служб на місцевому рівні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Враховуючи викладене, Міністерство вважає, </w:t>
      </w:r>
      <w:r>
        <w:rPr>
          <w:rFonts w:ascii="Times New Roman" w:hAnsi="Times New Roman"/>
          <w:sz w:val="28"/>
          <w:szCs w:val="28"/>
        </w:rPr>
        <w:t>що профілактика кримінальних правопорушень спонукає до формування правової культури учнів, виявлення та усунення причин і умов, що сприяють учиненню дітьми злочинів, подолання девіантної поведінки.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Рекомендуємо: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проаналізувати стан справ та посилити індивідуальну корекційну роботу з дітьми, які вже скоювали кримінальні правопорушення, та дітьми, які мають ознаки агресивної поведінки;</w:t>
      </w:r>
    </w:p>
    <w:p w:rsidR="00F8206E" w:rsidRDefault="00F8206E" w:rsidP="00F8206E">
      <w:pPr>
        <w:pBdr>
          <w:bottom w:val="single" w:sz="6" w:space="10" w:color="DDE6EE"/>
        </w:pBd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провести інформаційно-просвітницьку роботу з батьками та законними представниками дітей, схильних до протиправної поведінки, сприяти в організації позакласної зайнятості цієї категорії дітей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тощо.</w:t>
      </w:r>
    </w:p>
    <w:p w:rsidR="000B7A33" w:rsidRPr="00F8206E" w:rsidRDefault="000B7A33">
      <w:pPr>
        <w:rPr>
          <w:lang w:val="uk-UA"/>
        </w:rPr>
      </w:pPr>
      <w:bookmarkStart w:id="6" w:name="_GoBack"/>
      <w:bookmarkEnd w:id="6"/>
    </w:p>
    <w:sectPr w:rsidR="000B7A33" w:rsidRPr="00F8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6E"/>
    <w:rsid w:val="000B7A33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206E"/>
    <w:rPr>
      <w:color w:val="0000FF" w:themeColor="hyperlink"/>
      <w:u w:val="single"/>
    </w:rPr>
  </w:style>
  <w:style w:type="character" w:customStyle="1" w:styleId="rvts0">
    <w:name w:val="rvts0"/>
    <w:basedOn w:val="a0"/>
    <w:rsid w:val="00F8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206E"/>
    <w:rPr>
      <w:color w:val="0000FF" w:themeColor="hyperlink"/>
      <w:u w:val="single"/>
    </w:rPr>
  </w:style>
  <w:style w:type="character" w:customStyle="1" w:styleId="rvts0">
    <w:name w:val="rvts0"/>
    <w:basedOn w:val="a0"/>
    <w:rsid w:val="00F8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u.gov.ua/npas/pro-zatverdzhennya-planu-zahodiv-z-a1335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yche-logos@ukr.net" TargetMode="External"/><Relationship Id="rId5" Type="http://schemas.openxmlformats.org/officeDocument/2006/relationships/hyperlink" Target="https://zakon.rada.gov.ua/laws/show/689-2019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2022-09-16T07:26:00Z</dcterms:created>
  <dcterms:modified xsi:type="dcterms:W3CDTF">2022-09-16T07:26:00Z</dcterms:modified>
</cp:coreProperties>
</file>