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9" w:rsidRDefault="00FC4879" w:rsidP="00FC487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Національно-патріотичне виховання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Наказом МОН України від 06.06.2022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</w:rPr>
        <w:t>527 затверджено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 щодо реалізації Концепції національно-патріотичного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виховання в системі освіти України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 доступу: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hyperlink r:id="rId5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https://mon.gov.ua/ua/npa/pro-deyaki-pitannya-nacionalno-patriotichnogo-vihovannya-v-zakladah-osviti-ukrayini-ta-viznannya-takim-sho-vtrativ-chinnist-nakazu-ministerstva-osviti-i-nauki-ukrayini-vid-16062015-641</w:t>
        </w:r>
      </w:hyperlink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основних складових національно-патріотичного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виховання 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онцепції виокремлені громадянсько-патріотичне,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духовно-моральне, військово-патріотичне та екологічне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виховання.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національно-патріотичного вихованим визначено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становлення самодостатнього громадянина-патріота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гуманіста і демократа, готового до виконання громадянських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конституційних обов’язків, до успадкування духовних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культурних надбань українського народу, досягнення високої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культури взаємин, формування активної громадянської позиції,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утвердження національної ідентичності громадян па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духовно-моральних цінностей Українського народу,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національної самобутності.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спішність національно-патріотичного виховання значно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підвищиться, якщо ми навчимося протидіяти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маніпулятивним впливам. Ми живемо в умовах потужної інформаційної боротьби.</w:t>
      </w:r>
      <w:r>
        <w:rPr>
          <w:rFonts w:ascii="Times New Roman" w:hAnsi="Times New Roman"/>
          <w:sz w:val="28"/>
          <w:szCs w:val="28"/>
          <w:lang w:val="uk-UA"/>
        </w:rPr>
        <w:t xml:space="preserve"> Щодня, щогодини та щохвилини на нас впливає величезна кількість різноманітної інформації – тривожної, шкідливої, маніпулятивної, обнадійливої тощо. </w:t>
      </w:r>
      <w:r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повідомлень, яку ми «перетравлюємо», незрівнянна ні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чим та зростає щодня. Наше завдання – критично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сприймати будь-яку інформацію, що надходить. Пам’ятати,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 ми є суб’єктами нашого життя, а не об’єктами впливів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зовні. І здатні усвідомлено приймати рішення. Більше 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 маємо навчати цього наших дітей.У часи невизначеності, відсутності усталених рішень, які всі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ми зараз переживаємо, особливого значення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виживання людини, суспільства, держави набуває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критичне мислення. Такий тип мислення потрібен для 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неординарних практичних завдань. Тож сучасній людині важливо вміти розрізняти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маніпуляції, усвідомлювати їхні наслідки, ефективно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протистояти їм.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Центр протидії дезінформації при РНБО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cpd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category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events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 медіаосвіту й багато корисних ресурсів для педагогів:</w:t>
      </w: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aup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com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hyperlink r:id="rId8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medialiteracy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org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879" w:rsidRDefault="00FC4879" w:rsidP="00FC4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Перешкоджайте проявам расизму, шовінізму, приниженню гідності іншомовних людей і підкреслюйте словом і ділом моральний наратив демократії, толерантності, прав людини та верховенства права, територіальної цілісності та єдності народів України. </w:t>
      </w:r>
    </w:p>
    <w:p w:rsidR="000B7A33" w:rsidRPr="00FC4879" w:rsidRDefault="000B7A33">
      <w:pPr>
        <w:rPr>
          <w:lang w:val="uk-UA"/>
        </w:rPr>
      </w:pPr>
      <w:bookmarkStart w:id="0" w:name="_GoBack"/>
      <w:bookmarkEnd w:id="0"/>
    </w:p>
    <w:sectPr w:rsidR="000B7A33" w:rsidRPr="00FC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9"/>
    <w:rsid w:val="000B7A33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iteracy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p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d.gov.ua/category/events/" TargetMode="External"/><Relationship Id="rId5" Type="http://schemas.openxmlformats.org/officeDocument/2006/relationships/hyperlink" Target="https://mon.gov.ua/ua/npa/pro-deyaki-pitannya-nacionalno-patriotichnogo-vihovannya-v-zakladah-osviti-ukrayini-ta-viznannya-takim-sho-vtrativ-chinnist-nakazu-ministerstva-osviti-i-nauki-ukrayini-vid-16062015-6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2022-09-16T07:24:00Z</dcterms:created>
  <dcterms:modified xsi:type="dcterms:W3CDTF">2022-09-16T07:25:00Z</dcterms:modified>
</cp:coreProperties>
</file>